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9AD2" w14:textId="7271F991" w:rsidR="00980A1D" w:rsidRPr="006E62A0" w:rsidRDefault="006C6D31" w:rsidP="00980A1D">
      <w:pPr>
        <w:jc w:val="center"/>
        <w:rPr>
          <w:b/>
          <w:i/>
          <w:sz w:val="22"/>
          <w:szCs w:val="22"/>
        </w:rPr>
      </w:pPr>
      <w:bookmarkStart w:id="0" w:name="_GoBack"/>
      <w:bookmarkEnd w:id="0"/>
      <w:r w:rsidRPr="006E62A0">
        <w:rPr>
          <w:b/>
          <w:sz w:val="22"/>
          <w:szCs w:val="22"/>
        </w:rPr>
        <w:t>Free Speech, Hate Speech, and the College Campus</w:t>
      </w:r>
    </w:p>
    <w:p w14:paraId="02A93C44" w14:textId="77777777" w:rsidR="00980A1D" w:rsidRPr="006E62A0" w:rsidRDefault="00980A1D" w:rsidP="00980A1D">
      <w:pPr>
        <w:jc w:val="center"/>
        <w:rPr>
          <w:sz w:val="22"/>
          <w:szCs w:val="22"/>
        </w:rPr>
      </w:pPr>
      <w:r w:rsidRPr="006E62A0">
        <w:rPr>
          <w:sz w:val="22"/>
          <w:szCs w:val="22"/>
        </w:rPr>
        <w:t>Arts &amp; Sciences 1138.**, Freshman Seminar</w:t>
      </w:r>
    </w:p>
    <w:p w14:paraId="3179A53E" w14:textId="77777777" w:rsidR="00980A1D" w:rsidRPr="006E62A0" w:rsidRDefault="00980A1D" w:rsidP="00980A1D">
      <w:pPr>
        <w:jc w:val="center"/>
        <w:rPr>
          <w:sz w:val="22"/>
          <w:szCs w:val="22"/>
        </w:rPr>
      </w:pPr>
      <w:r w:rsidRPr="006E62A0">
        <w:rPr>
          <w:sz w:val="22"/>
          <w:szCs w:val="22"/>
        </w:rPr>
        <w:t>1 Semester-hour Credit</w:t>
      </w:r>
    </w:p>
    <w:p w14:paraId="22C4F945" w14:textId="77777777" w:rsidR="00980A1D" w:rsidRPr="006E62A0" w:rsidRDefault="00980A1D" w:rsidP="00980A1D">
      <w:pPr>
        <w:jc w:val="center"/>
        <w:rPr>
          <w:sz w:val="22"/>
          <w:szCs w:val="22"/>
        </w:rPr>
      </w:pPr>
      <w:r w:rsidRPr="006E62A0">
        <w:rPr>
          <w:sz w:val="22"/>
          <w:szCs w:val="22"/>
        </w:rPr>
        <w:t>Day/Time</w:t>
      </w:r>
      <w:r w:rsidRPr="006E62A0">
        <w:rPr>
          <w:sz w:val="22"/>
          <w:szCs w:val="22"/>
        </w:rPr>
        <w:tab/>
        <w:t>Room</w:t>
      </w:r>
    </w:p>
    <w:p w14:paraId="799B89F4" w14:textId="77777777" w:rsidR="00980A1D" w:rsidRPr="006E62A0" w:rsidRDefault="00980A1D" w:rsidP="00980A1D">
      <w:pPr>
        <w:rPr>
          <w:b/>
          <w:sz w:val="22"/>
          <w:szCs w:val="22"/>
        </w:rPr>
      </w:pPr>
    </w:p>
    <w:p w14:paraId="5F085731" w14:textId="77777777" w:rsidR="006C6D31" w:rsidRPr="006E62A0" w:rsidRDefault="006C6D31" w:rsidP="00980A1D">
      <w:pPr>
        <w:rPr>
          <w:b/>
          <w:sz w:val="22"/>
          <w:szCs w:val="22"/>
        </w:rPr>
      </w:pPr>
    </w:p>
    <w:p w14:paraId="5E05CEE3" w14:textId="77777777" w:rsidR="00980A1D" w:rsidRPr="006E62A0" w:rsidRDefault="006C6D31" w:rsidP="00980A1D">
      <w:pPr>
        <w:pStyle w:val="Heading5"/>
        <w:rPr>
          <w:szCs w:val="22"/>
        </w:rPr>
      </w:pPr>
      <w:r w:rsidRPr="006E62A0">
        <w:rPr>
          <w:szCs w:val="22"/>
        </w:rPr>
        <w:t>Professor Matthew Birkhold</w:t>
      </w:r>
      <w:r w:rsidRPr="006E62A0">
        <w:rPr>
          <w:szCs w:val="22"/>
        </w:rPr>
        <w:tab/>
      </w:r>
      <w:r w:rsidRPr="006E62A0">
        <w:rPr>
          <w:szCs w:val="22"/>
        </w:rPr>
        <w:tab/>
        <w:t xml:space="preserve">    </w:t>
      </w:r>
      <w:r w:rsidR="00980A1D" w:rsidRPr="006E62A0">
        <w:rPr>
          <w:szCs w:val="22"/>
        </w:rPr>
        <w:t>Office Hours:</w:t>
      </w:r>
      <w:r w:rsidRPr="006E62A0">
        <w:rPr>
          <w:szCs w:val="22"/>
        </w:rPr>
        <w:t xml:space="preserve"> Monday 11:00am-1:00pm</w:t>
      </w:r>
    </w:p>
    <w:p w14:paraId="1FDEBD5F" w14:textId="77777777" w:rsidR="00980A1D" w:rsidRPr="006E62A0" w:rsidRDefault="00980A1D" w:rsidP="00980A1D">
      <w:pPr>
        <w:tabs>
          <w:tab w:val="left" w:pos="-1440"/>
        </w:tabs>
        <w:ind w:left="8640" w:hanging="8640"/>
        <w:rPr>
          <w:sz w:val="22"/>
          <w:szCs w:val="22"/>
        </w:rPr>
      </w:pPr>
      <w:r w:rsidRPr="006E62A0">
        <w:rPr>
          <w:b/>
          <w:sz w:val="22"/>
          <w:szCs w:val="22"/>
        </w:rPr>
        <w:tab/>
      </w:r>
      <w:r w:rsidRPr="006E62A0">
        <w:rPr>
          <w:b/>
          <w:sz w:val="22"/>
          <w:szCs w:val="22"/>
        </w:rPr>
        <w:tab/>
        <w:t xml:space="preserve"> </w:t>
      </w:r>
    </w:p>
    <w:p w14:paraId="179311DE" w14:textId="77777777" w:rsidR="00D504CA" w:rsidRPr="006E62A0" w:rsidRDefault="00D504CA" w:rsidP="00D504CA">
      <w:pPr>
        <w:rPr>
          <w:sz w:val="22"/>
          <w:szCs w:val="22"/>
        </w:rPr>
      </w:pPr>
    </w:p>
    <w:p w14:paraId="42F19795" w14:textId="77777777" w:rsidR="0029136B" w:rsidRPr="006E62A0" w:rsidRDefault="0029136B" w:rsidP="0029136B">
      <w:pPr>
        <w:rPr>
          <w:b/>
          <w:sz w:val="22"/>
          <w:szCs w:val="22"/>
        </w:rPr>
      </w:pPr>
      <w:r w:rsidRPr="006E62A0">
        <w:rPr>
          <w:b/>
          <w:sz w:val="22"/>
          <w:szCs w:val="22"/>
        </w:rPr>
        <w:t>Course Description</w:t>
      </w:r>
    </w:p>
    <w:p w14:paraId="5F7E36B2" w14:textId="59F37DE0" w:rsidR="00B219A9" w:rsidRDefault="00C31677" w:rsidP="006E62A0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Is hateful </w:t>
      </w:r>
      <w:r w:rsidR="006E62A0" w:rsidRPr="006E62A0">
        <w:rPr>
          <w:sz w:val="22"/>
          <w:szCs w:val="22"/>
        </w:rPr>
        <w:t xml:space="preserve">speech protected by law? </w:t>
      </w:r>
      <w:r w:rsidR="006E62A0" w:rsidRPr="006E62A0">
        <w:rPr>
          <w:bCs/>
          <w:sz w:val="22"/>
          <w:szCs w:val="22"/>
        </w:rPr>
        <w:t xml:space="preserve">Should obscenity be treated differently than other forms of speech? </w:t>
      </w:r>
      <w:r w:rsidR="00B219A9" w:rsidRPr="006E62A0">
        <w:rPr>
          <w:bCs/>
          <w:sz w:val="22"/>
          <w:szCs w:val="22"/>
        </w:rPr>
        <w:t>Are some ideas so offensive that no protection for their expression should be afforded?</w:t>
      </w:r>
      <w:r w:rsidR="00B219A9" w:rsidRPr="00B219A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Does </w:t>
      </w:r>
      <w:r w:rsidR="00B219A9" w:rsidRPr="006E62A0">
        <w:rPr>
          <w:bCs/>
          <w:sz w:val="22"/>
          <w:szCs w:val="22"/>
        </w:rPr>
        <w:t xml:space="preserve">First Amendment protection extend </w:t>
      </w:r>
      <w:r>
        <w:rPr>
          <w:bCs/>
          <w:sz w:val="22"/>
          <w:szCs w:val="22"/>
        </w:rPr>
        <w:t>to</w:t>
      </w:r>
      <w:r w:rsidR="00B219A9" w:rsidRPr="006E62A0">
        <w:rPr>
          <w:bCs/>
          <w:sz w:val="22"/>
          <w:szCs w:val="22"/>
        </w:rPr>
        <w:t xml:space="preserve"> speech that encourages illegal activity?</w:t>
      </w:r>
    </w:p>
    <w:p w14:paraId="4A8F60EE" w14:textId="77777777" w:rsidR="00B219A9" w:rsidRDefault="00B219A9" w:rsidP="006E62A0">
      <w:pPr>
        <w:rPr>
          <w:bCs/>
          <w:sz w:val="22"/>
          <w:szCs w:val="22"/>
        </w:rPr>
      </w:pPr>
    </w:p>
    <w:p w14:paraId="76ADE0DF" w14:textId="67AC2B58" w:rsidR="006E62A0" w:rsidRPr="006E62A0" w:rsidRDefault="00B219A9" w:rsidP="006E62A0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In this course, we will answer all of these questions and more, </w:t>
      </w:r>
      <w:r w:rsidR="00C31677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focusing on the college campus. </w:t>
      </w:r>
      <w:r w:rsidR="006E62A0" w:rsidRPr="006E62A0">
        <w:rPr>
          <w:sz w:val="22"/>
          <w:szCs w:val="22"/>
        </w:rPr>
        <w:t xml:space="preserve">Can a university shut down a student newspaper </w:t>
      </w:r>
      <w:r w:rsidR="00C31677">
        <w:rPr>
          <w:sz w:val="22"/>
          <w:szCs w:val="22"/>
        </w:rPr>
        <w:t>based on its content</w:t>
      </w:r>
      <w:r w:rsidR="006E62A0" w:rsidRPr="006E62A0">
        <w:rPr>
          <w:sz w:val="22"/>
          <w:szCs w:val="22"/>
        </w:rPr>
        <w:t xml:space="preserve">? </w:t>
      </w:r>
      <w:r w:rsidR="006E62A0" w:rsidRPr="006E62A0">
        <w:rPr>
          <w:bCs/>
          <w:sz w:val="22"/>
          <w:szCs w:val="22"/>
        </w:rPr>
        <w:t>Must a</w:t>
      </w:r>
      <w:r w:rsidR="00C31677">
        <w:rPr>
          <w:bCs/>
          <w:sz w:val="22"/>
          <w:szCs w:val="22"/>
        </w:rPr>
        <w:t xml:space="preserve"> university allow religious</w:t>
      </w:r>
      <w:r w:rsidR="006E62A0" w:rsidRPr="006E62A0">
        <w:rPr>
          <w:bCs/>
          <w:sz w:val="22"/>
          <w:szCs w:val="22"/>
        </w:rPr>
        <w:t xml:space="preserve"> student </w:t>
      </w:r>
      <w:r w:rsidR="00C31677">
        <w:rPr>
          <w:bCs/>
          <w:sz w:val="22"/>
          <w:szCs w:val="22"/>
        </w:rPr>
        <w:t>groups</w:t>
      </w:r>
      <w:r w:rsidR="006E62A0" w:rsidRPr="006E62A0">
        <w:rPr>
          <w:bCs/>
          <w:sz w:val="22"/>
          <w:szCs w:val="22"/>
        </w:rPr>
        <w:t xml:space="preserve"> to use </w:t>
      </w:r>
      <w:r w:rsidR="00C31677">
        <w:rPr>
          <w:bCs/>
          <w:sz w:val="22"/>
          <w:szCs w:val="22"/>
        </w:rPr>
        <w:t>its student center</w:t>
      </w:r>
      <w:r w:rsidR="006E62A0" w:rsidRPr="006E62A0">
        <w:rPr>
          <w:bCs/>
          <w:sz w:val="22"/>
          <w:szCs w:val="22"/>
        </w:rPr>
        <w:t>? Do students have the right to dis</w:t>
      </w:r>
      <w:r w:rsidR="00C31677">
        <w:rPr>
          <w:bCs/>
          <w:sz w:val="22"/>
          <w:szCs w:val="22"/>
        </w:rPr>
        <w:t xml:space="preserve">tribute offensive texts and images </w:t>
      </w:r>
      <w:r w:rsidR="006E62A0" w:rsidRPr="006E62A0">
        <w:rPr>
          <w:bCs/>
          <w:sz w:val="22"/>
          <w:szCs w:val="22"/>
        </w:rPr>
        <w:t xml:space="preserve">campus? </w:t>
      </w:r>
    </w:p>
    <w:p w14:paraId="0798D017" w14:textId="77777777" w:rsidR="006E62A0" w:rsidRPr="006E62A0" w:rsidRDefault="006E62A0" w:rsidP="006E62A0">
      <w:pPr>
        <w:rPr>
          <w:bCs/>
          <w:sz w:val="22"/>
          <w:szCs w:val="22"/>
        </w:rPr>
      </w:pPr>
    </w:p>
    <w:p w14:paraId="0C73A640" w14:textId="1A3A83AD" w:rsidR="006E62A0" w:rsidRPr="006E62A0" w:rsidRDefault="00B219A9" w:rsidP="006E62A0">
      <w:pPr>
        <w:rPr>
          <w:sz w:val="22"/>
          <w:szCs w:val="22"/>
        </w:rPr>
      </w:pPr>
      <w:r>
        <w:rPr>
          <w:sz w:val="22"/>
          <w:szCs w:val="22"/>
        </w:rPr>
        <w:t>In addition to considering w</w:t>
      </w:r>
      <w:r w:rsidRPr="006E62A0">
        <w:rPr>
          <w:sz w:val="22"/>
          <w:szCs w:val="22"/>
        </w:rPr>
        <w:t xml:space="preserve">hy </w:t>
      </w:r>
      <w:r>
        <w:rPr>
          <w:sz w:val="22"/>
          <w:szCs w:val="22"/>
        </w:rPr>
        <w:t>we protect freedom of expression,</w:t>
      </w:r>
      <w:r w:rsidRPr="006E62A0">
        <w:rPr>
          <w:sz w:val="22"/>
          <w:szCs w:val="22"/>
        </w:rPr>
        <w:t xml:space="preserve"> </w:t>
      </w:r>
      <w:r w:rsidR="006E62A0" w:rsidRPr="006E62A0">
        <w:rPr>
          <w:sz w:val="22"/>
          <w:szCs w:val="22"/>
        </w:rPr>
        <w:t xml:space="preserve">we will </w:t>
      </w:r>
      <w:r>
        <w:rPr>
          <w:sz w:val="22"/>
          <w:szCs w:val="22"/>
        </w:rPr>
        <w:t>learn the fundamentals of</w:t>
      </w:r>
      <w:r w:rsidR="006E62A0" w:rsidRPr="006E62A0">
        <w:rPr>
          <w:sz w:val="22"/>
          <w:szCs w:val="22"/>
        </w:rPr>
        <w:t xml:space="preserve"> the constitutional right of freedom of speech in the United States. We will examine a variety of issues, including: racist and hateful speech; extremist speech; obscenity and pornography; fighting words. Along the way, we will analyze foundational judicial decisions, debate contemporary events, and act as judges. No pr</w:t>
      </w:r>
      <w:r>
        <w:rPr>
          <w:sz w:val="22"/>
          <w:szCs w:val="22"/>
        </w:rPr>
        <w:t>evious knowledge of the law required</w:t>
      </w:r>
      <w:r w:rsidR="006E62A0" w:rsidRPr="006E62A0">
        <w:rPr>
          <w:sz w:val="22"/>
          <w:szCs w:val="22"/>
        </w:rPr>
        <w:t xml:space="preserve">! </w:t>
      </w:r>
    </w:p>
    <w:p w14:paraId="41E68564" w14:textId="77777777" w:rsidR="0029136B" w:rsidRDefault="0029136B" w:rsidP="0029136B">
      <w:pPr>
        <w:rPr>
          <w:b/>
          <w:sz w:val="22"/>
          <w:szCs w:val="22"/>
        </w:rPr>
      </w:pPr>
    </w:p>
    <w:p w14:paraId="43982405" w14:textId="77777777" w:rsidR="0029136B" w:rsidRDefault="0029136B" w:rsidP="0029136B">
      <w:pPr>
        <w:rPr>
          <w:b/>
          <w:sz w:val="22"/>
          <w:szCs w:val="22"/>
        </w:rPr>
      </w:pPr>
    </w:p>
    <w:p w14:paraId="7A550115" w14:textId="4950F57D" w:rsidR="00980A1D" w:rsidRPr="0029136B" w:rsidRDefault="00980A1D" w:rsidP="0029136B">
      <w:pPr>
        <w:rPr>
          <w:b/>
          <w:sz w:val="22"/>
          <w:szCs w:val="22"/>
        </w:rPr>
      </w:pPr>
      <w:r w:rsidRPr="0029136B">
        <w:rPr>
          <w:b/>
          <w:sz w:val="22"/>
          <w:szCs w:val="22"/>
        </w:rPr>
        <w:t>Texts</w:t>
      </w:r>
    </w:p>
    <w:p w14:paraId="2A176AEE" w14:textId="42D9D305" w:rsidR="00980A1D" w:rsidRPr="00136455" w:rsidRDefault="00AB68F7" w:rsidP="00980A1D">
      <w:pPr>
        <w:rPr>
          <w:sz w:val="22"/>
          <w:szCs w:val="22"/>
        </w:rPr>
      </w:pPr>
      <w:r w:rsidRPr="00136455">
        <w:rPr>
          <w:sz w:val="22"/>
          <w:szCs w:val="22"/>
        </w:rPr>
        <w:t>All texts available online</w:t>
      </w:r>
    </w:p>
    <w:p w14:paraId="48C44FC5" w14:textId="210B0752" w:rsidR="00AB68F7" w:rsidRPr="00136455" w:rsidRDefault="00AB68F7" w:rsidP="00980A1D">
      <w:pPr>
        <w:rPr>
          <w:sz w:val="22"/>
          <w:szCs w:val="22"/>
        </w:rPr>
      </w:pPr>
      <w:r w:rsidRPr="00136455">
        <w:rPr>
          <w:rFonts w:eastAsiaTheme="minorHAnsi"/>
          <w:snapToGrid/>
          <w:sz w:val="22"/>
          <w:szCs w:val="22"/>
        </w:rPr>
        <w:t>Stone, Geoffrey, et al. Constitutional Law, Sixth Edition</w:t>
      </w:r>
    </w:p>
    <w:p w14:paraId="5F6E004E" w14:textId="77777777" w:rsidR="00980A1D" w:rsidRPr="00136455" w:rsidRDefault="00980A1D" w:rsidP="00980A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1A0E93FE" w14:textId="77777777" w:rsidR="006C6D31" w:rsidRPr="00136455" w:rsidRDefault="006C6D31" w:rsidP="00980A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14:paraId="6FFDD20E" w14:textId="77777777" w:rsidR="00A17ABB" w:rsidRPr="00136455" w:rsidRDefault="00A17ABB" w:rsidP="00A17ABB">
      <w:pPr>
        <w:rPr>
          <w:b/>
          <w:sz w:val="22"/>
          <w:szCs w:val="22"/>
        </w:rPr>
      </w:pPr>
      <w:r w:rsidRPr="00136455">
        <w:rPr>
          <w:b/>
          <w:sz w:val="22"/>
          <w:szCs w:val="22"/>
        </w:rPr>
        <w:t>Required Activities:</w:t>
      </w:r>
    </w:p>
    <w:p w14:paraId="1733AA80" w14:textId="07CF7E4D" w:rsidR="00A17ABB" w:rsidRPr="00136455" w:rsidRDefault="00A17ABB" w:rsidP="00A17AB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36455">
        <w:rPr>
          <w:rFonts w:ascii="Times New Roman" w:hAnsi="Times New Roman"/>
        </w:rPr>
        <w:t>Students are expected to attend each class, read all the assigned materials, and – most importantly – participate in class discussions.  If we aren’t debating, we’re doing something wrong.</w:t>
      </w:r>
    </w:p>
    <w:p w14:paraId="423FE748" w14:textId="7629853E" w:rsidR="00A17ABB" w:rsidRPr="00136455" w:rsidRDefault="00A17ABB" w:rsidP="00A17AB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36455">
        <w:rPr>
          <w:rFonts w:ascii="Times New Roman" w:hAnsi="Times New Roman"/>
        </w:rPr>
        <w:t xml:space="preserve">Students will chose one week to lead discussion. This will entail summarizing the relevant facts of a case, highlighting the debates, and asking thought-provoking questions. </w:t>
      </w:r>
    </w:p>
    <w:p w14:paraId="3F103A27" w14:textId="134CF1A5" w:rsidR="00A17ABB" w:rsidRPr="00136455" w:rsidRDefault="00A17ABB" w:rsidP="00A17AB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36455">
        <w:rPr>
          <w:rFonts w:ascii="Times New Roman" w:hAnsi="Times New Roman"/>
        </w:rPr>
        <w:t xml:space="preserve">In the final two weeks of class, students will form courts and </w:t>
      </w:r>
      <w:r w:rsidR="00415C13" w:rsidRPr="00136455">
        <w:rPr>
          <w:rFonts w:ascii="Times New Roman" w:hAnsi="Times New Roman"/>
        </w:rPr>
        <w:t>adjudicate a variety of difficult First Amendment cases</w:t>
      </w:r>
      <w:r w:rsidRPr="00136455">
        <w:rPr>
          <w:rFonts w:ascii="Times New Roman" w:hAnsi="Times New Roman"/>
        </w:rPr>
        <w:t xml:space="preserve">. </w:t>
      </w:r>
    </w:p>
    <w:p w14:paraId="029B0D63" w14:textId="719493F5" w:rsidR="00A17ABB" w:rsidRPr="00136455" w:rsidRDefault="00A17ABB" w:rsidP="00A17AB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36455">
        <w:rPr>
          <w:rFonts w:ascii="Times New Roman" w:hAnsi="Times New Roman"/>
        </w:rPr>
        <w:t xml:space="preserve">As a final written assignment, students will a short judicial opinion deciding one of the cases. </w:t>
      </w:r>
    </w:p>
    <w:p w14:paraId="76A91761" w14:textId="77777777" w:rsidR="00980A1D" w:rsidRPr="00136455" w:rsidRDefault="00980A1D" w:rsidP="00980A1D">
      <w:pPr>
        <w:pStyle w:val="Heading1"/>
        <w:rPr>
          <w:rFonts w:ascii="Times New Roman" w:hAnsi="Times New Roman" w:cs="Times New Roman"/>
          <w:bCs w:val="0"/>
          <w:szCs w:val="22"/>
        </w:rPr>
      </w:pPr>
      <w:r w:rsidRPr="00136455">
        <w:rPr>
          <w:rFonts w:ascii="Times New Roman" w:hAnsi="Times New Roman" w:cs="Times New Roman"/>
          <w:bCs w:val="0"/>
          <w:szCs w:val="22"/>
        </w:rPr>
        <w:t>Grading</w:t>
      </w:r>
    </w:p>
    <w:p w14:paraId="35ACA559" w14:textId="2BC2FD55" w:rsidR="00A17ABB" w:rsidRPr="00136455" w:rsidRDefault="00A17ABB" w:rsidP="00A17ABB">
      <w:pPr>
        <w:rPr>
          <w:sz w:val="22"/>
          <w:szCs w:val="22"/>
        </w:rPr>
      </w:pPr>
      <w:r w:rsidRPr="00136455">
        <w:rPr>
          <w:sz w:val="22"/>
          <w:szCs w:val="22"/>
        </w:rPr>
        <w:t xml:space="preserve">Satisfactory/ Unsatisfactory  </w:t>
      </w:r>
    </w:p>
    <w:p w14:paraId="3B5007FF" w14:textId="07A45BA7" w:rsidR="00A17ABB" w:rsidRPr="00136455" w:rsidRDefault="00A17ABB" w:rsidP="00A17ABB">
      <w:pPr>
        <w:ind w:left="720"/>
        <w:rPr>
          <w:sz w:val="22"/>
          <w:szCs w:val="22"/>
        </w:rPr>
      </w:pPr>
      <w:r w:rsidRPr="00136455">
        <w:rPr>
          <w:sz w:val="22"/>
          <w:szCs w:val="22"/>
        </w:rPr>
        <w:t xml:space="preserve">        Class participation:</w:t>
      </w:r>
      <w:r w:rsidRPr="00136455">
        <w:rPr>
          <w:sz w:val="22"/>
          <w:szCs w:val="22"/>
        </w:rPr>
        <w:tab/>
      </w:r>
      <w:r w:rsidR="00605CC3" w:rsidRPr="00136455">
        <w:rPr>
          <w:sz w:val="22"/>
          <w:szCs w:val="22"/>
        </w:rPr>
        <w:tab/>
      </w:r>
      <w:r w:rsidRPr="00136455">
        <w:rPr>
          <w:sz w:val="22"/>
          <w:szCs w:val="22"/>
        </w:rPr>
        <w:t xml:space="preserve">50%  </w:t>
      </w:r>
    </w:p>
    <w:p w14:paraId="084F921D" w14:textId="475CD0DC" w:rsidR="00A17ABB" w:rsidRPr="00136455" w:rsidRDefault="00A17ABB" w:rsidP="00A17ABB">
      <w:pPr>
        <w:rPr>
          <w:sz w:val="22"/>
          <w:szCs w:val="22"/>
        </w:rPr>
      </w:pPr>
      <w:r w:rsidRPr="00136455">
        <w:rPr>
          <w:sz w:val="22"/>
          <w:szCs w:val="22"/>
        </w:rPr>
        <w:t xml:space="preserve">                    </w:t>
      </w:r>
      <w:r w:rsidR="00605CC3" w:rsidRPr="00136455">
        <w:rPr>
          <w:sz w:val="22"/>
          <w:szCs w:val="22"/>
        </w:rPr>
        <w:t xml:space="preserve"> </w:t>
      </w:r>
      <w:r w:rsidRPr="00136455">
        <w:rPr>
          <w:sz w:val="22"/>
          <w:szCs w:val="22"/>
        </w:rPr>
        <w:t>Oral presentation:</w:t>
      </w:r>
      <w:r w:rsidRPr="00136455">
        <w:rPr>
          <w:sz w:val="22"/>
          <w:szCs w:val="22"/>
        </w:rPr>
        <w:tab/>
      </w:r>
      <w:r w:rsidR="00605CC3" w:rsidRPr="00136455">
        <w:rPr>
          <w:sz w:val="22"/>
          <w:szCs w:val="22"/>
        </w:rPr>
        <w:tab/>
      </w:r>
      <w:r w:rsidRPr="00136455">
        <w:rPr>
          <w:sz w:val="22"/>
          <w:szCs w:val="22"/>
        </w:rPr>
        <w:t>20%</w:t>
      </w:r>
    </w:p>
    <w:p w14:paraId="6FA51928" w14:textId="4EC574CB" w:rsidR="00A17ABB" w:rsidRPr="00136455" w:rsidRDefault="00A17ABB" w:rsidP="00A17ABB">
      <w:pPr>
        <w:ind w:firstLine="720"/>
        <w:rPr>
          <w:sz w:val="22"/>
          <w:szCs w:val="22"/>
        </w:rPr>
      </w:pPr>
      <w:r w:rsidRPr="00136455">
        <w:rPr>
          <w:sz w:val="22"/>
          <w:szCs w:val="22"/>
        </w:rPr>
        <w:t xml:space="preserve">        Final opinion</w:t>
      </w:r>
      <w:r w:rsidR="00605CC3" w:rsidRPr="00136455">
        <w:rPr>
          <w:sz w:val="22"/>
          <w:szCs w:val="22"/>
        </w:rPr>
        <w:t>:</w:t>
      </w:r>
      <w:r w:rsidR="00605CC3" w:rsidRPr="00136455">
        <w:rPr>
          <w:sz w:val="22"/>
          <w:szCs w:val="22"/>
        </w:rPr>
        <w:tab/>
      </w:r>
      <w:r w:rsidR="00605CC3" w:rsidRPr="00136455">
        <w:rPr>
          <w:sz w:val="22"/>
          <w:szCs w:val="22"/>
        </w:rPr>
        <w:tab/>
      </w:r>
      <w:r w:rsidRPr="00136455">
        <w:rPr>
          <w:sz w:val="22"/>
          <w:szCs w:val="22"/>
        </w:rPr>
        <w:t>30%</w:t>
      </w:r>
      <w:r w:rsidRPr="00136455">
        <w:rPr>
          <w:sz w:val="22"/>
          <w:szCs w:val="22"/>
        </w:rPr>
        <w:tab/>
        <w:t xml:space="preserve"> </w:t>
      </w:r>
    </w:p>
    <w:p w14:paraId="7C5A77A3" w14:textId="77777777" w:rsidR="00A17ABB" w:rsidRPr="00136455" w:rsidRDefault="00A17ABB" w:rsidP="00A17ABB">
      <w:pPr>
        <w:rPr>
          <w:sz w:val="22"/>
          <w:szCs w:val="22"/>
        </w:rPr>
      </w:pPr>
    </w:p>
    <w:p w14:paraId="752FEB49" w14:textId="11555636" w:rsidR="00605CC3" w:rsidRPr="00136455" w:rsidRDefault="00605CC3" w:rsidP="00A17ABB">
      <w:pPr>
        <w:rPr>
          <w:sz w:val="22"/>
          <w:szCs w:val="22"/>
        </w:rPr>
      </w:pPr>
      <w:r w:rsidRPr="00136455">
        <w:rPr>
          <w:sz w:val="22"/>
          <w:szCs w:val="22"/>
        </w:rPr>
        <w:t>To earn a satisfactory grade, students should earn a 70%. A mid-term progress report will be given to track class participation.</w:t>
      </w:r>
    </w:p>
    <w:p w14:paraId="3E526A61" w14:textId="77777777" w:rsidR="00980A1D" w:rsidRPr="00136455" w:rsidRDefault="00980A1D" w:rsidP="00980A1D">
      <w:pPr>
        <w:rPr>
          <w:sz w:val="22"/>
          <w:szCs w:val="22"/>
        </w:rPr>
      </w:pPr>
    </w:p>
    <w:p w14:paraId="1FC37B07" w14:textId="77777777" w:rsidR="00605CC3" w:rsidRPr="00136455" w:rsidRDefault="00605CC3" w:rsidP="00980A1D">
      <w:pPr>
        <w:rPr>
          <w:sz w:val="22"/>
          <w:szCs w:val="22"/>
        </w:rPr>
      </w:pPr>
    </w:p>
    <w:p w14:paraId="19896570" w14:textId="77777777" w:rsidR="00605CC3" w:rsidRPr="00136455" w:rsidRDefault="00605CC3" w:rsidP="00605CC3">
      <w:pPr>
        <w:rPr>
          <w:sz w:val="22"/>
          <w:szCs w:val="22"/>
        </w:rPr>
      </w:pPr>
      <w:r w:rsidRPr="00136455">
        <w:rPr>
          <w:b/>
          <w:sz w:val="22"/>
          <w:szCs w:val="22"/>
        </w:rPr>
        <w:t>Course Objectives:</w:t>
      </w:r>
      <w:r w:rsidRPr="00136455">
        <w:rPr>
          <w:sz w:val="22"/>
          <w:szCs w:val="22"/>
        </w:rPr>
        <w:t xml:space="preserve">  </w:t>
      </w:r>
    </w:p>
    <w:p w14:paraId="53409898" w14:textId="3B3DB2F8" w:rsidR="00605CC3" w:rsidRPr="00136455" w:rsidRDefault="00605CC3" w:rsidP="00605CC3">
      <w:pPr>
        <w:widowControl/>
        <w:numPr>
          <w:ilvl w:val="0"/>
          <w:numId w:val="3"/>
        </w:numPr>
        <w:rPr>
          <w:sz w:val="22"/>
          <w:szCs w:val="22"/>
        </w:rPr>
      </w:pPr>
      <w:r w:rsidRPr="00136455">
        <w:rPr>
          <w:sz w:val="22"/>
          <w:szCs w:val="22"/>
        </w:rPr>
        <w:t>To understand the fundamentals of the First Amendment and contemporary debates about the freedom of expression on campus and in the United States</w:t>
      </w:r>
    </w:p>
    <w:p w14:paraId="2C9136B5" w14:textId="4F44439F" w:rsidR="00605CC3" w:rsidRPr="00136455" w:rsidRDefault="00605CC3" w:rsidP="00605CC3">
      <w:pPr>
        <w:widowControl/>
        <w:numPr>
          <w:ilvl w:val="0"/>
          <w:numId w:val="3"/>
        </w:numPr>
        <w:rPr>
          <w:sz w:val="22"/>
          <w:szCs w:val="22"/>
        </w:rPr>
      </w:pPr>
      <w:r w:rsidRPr="00136455">
        <w:rPr>
          <w:sz w:val="22"/>
          <w:szCs w:val="22"/>
        </w:rPr>
        <w:t xml:space="preserve">To develop skills in oral presentation and civil discourse </w:t>
      </w:r>
    </w:p>
    <w:p w14:paraId="59EC8981" w14:textId="4B8581B6" w:rsidR="00605CC3" w:rsidRPr="00136455" w:rsidRDefault="00605CC3" w:rsidP="00605CC3">
      <w:pPr>
        <w:widowControl/>
        <w:numPr>
          <w:ilvl w:val="0"/>
          <w:numId w:val="3"/>
        </w:numPr>
        <w:rPr>
          <w:sz w:val="22"/>
          <w:szCs w:val="22"/>
        </w:rPr>
      </w:pPr>
      <w:r w:rsidRPr="00136455">
        <w:rPr>
          <w:sz w:val="22"/>
          <w:szCs w:val="22"/>
        </w:rPr>
        <w:t xml:space="preserve">To enhance critical thinking and writing </w:t>
      </w:r>
    </w:p>
    <w:p w14:paraId="62640C34" w14:textId="77777777" w:rsidR="00605CC3" w:rsidRPr="00136455" w:rsidRDefault="00605CC3" w:rsidP="00605CC3">
      <w:pPr>
        <w:rPr>
          <w:sz w:val="22"/>
          <w:szCs w:val="22"/>
        </w:rPr>
      </w:pPr>
    </w:p>
    <w:p w14:paraId="333507C6" w14:textId="77777777" w:rsidR="00605CC3" w:rsidRPr="00136455" w:rsidRDefault="00605CC3" w:rsidP="00605CC3">
      <w:pPr>
        <w:pStyle w:val="Heading1"/>
        <w:rPr>
          <w:rFonts w:ascii="Times New Roman" w:hAnsi="Times New Roman" w:cs="Times New Roman"/>
          <w:szCs w:val="22"/>
        </w:rPr>
      </w:pPr>
      <w:r w:rsidRPr="00136455">
        <w:rPr>
          <w:rFonts w:ascii="Times New Roman" w:hAnsi="Times New Roman" w:cs="Times New Roman"/>
          <w:szCs w:val="22"/>
        </w:rPr>
        <w:t>Academic Misconduct</w:t>
      </w:r>
    </w:p>
    <w:p w14:paraId="39C0C443" w14:textId="052054D4" w:rsidR="00166FAA" w:rsidRDefault="00166FAA" w:rsidP="00166FAA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>It is the responsibility of the Committee on Academic Misconduct to investigate or establish</w:t>
      </w:r>
    </w:p>
    <w:p w14:paraId="33361B8D" w14:textId="77777777" w:rsidR="00166FAA" w:rsidRDefault="00166FAA" w:rsidP="00166FAA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>procedures for the investigation of all reported cases of student academic misconduct. The term</w:t>
      </w:r>
    </w:p>
    <w:p w14:paraId="3DCBC890" w14:textId="77777777" w:rsidR="00166FAA" w:rsidRDefault="00166FAA" w:rsidP="00166FAA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>“academic misconduct” includes all forms of student academic misconduct wherever</w:t>
      </w:r>
    </w:p>
    <w:p w14:paraId="4DDA1C12" w14:textId="77777777" w:rsidR="00166FAA" w:rsidRDefault="00166FAA" w:rsidP="00166FAA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>committed; illustrated by, but not limited to, cases of plagiarism and dishonest practices in</w:t>
      </w:r>
    </w:p>
    <w:p w14:paraId="4373BDA0" w14:textId="77777777" w:rsidR="00166FAA" w:rsidRDefault="00166FAA" w:rsidP="00166FAA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>connection with examinations. Instructors shall report all instances of alleged academic</w:t>
      </w:r>
    </w:p>
    <w:p w14:paraId="4A3E69DB" w14:textId="77777777" w:rsidR="00166FAA" w:rsidRDefault="00166FAA" w:rsidP="00166FAA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>misconduct to the committee (Faculty Rule 3335-5-487). For additional information, see the</w:t>
      </w:r>
    </w:p>
    <w:p w14:paraId="5C5C106B" w14:textId="21F39CAD" w:rsidR="00605CC3" w:rsidRDefault="00166FAA" w:rsidP="00166FAA">
      <w:pPr>
        <w:tabs>
          <w:tab w:val="left" w:pos="540"/>
          <w:tab w:val="left" w:pos="6480"/>
          <w:tab w:val="left" w:pos="8639"/>
        </w:tabs>
        <w:rPr>
          <w:rFonts w:eastAsiaTheme="minorHAnsi"/>
          <w:b/>
          <w:bCs/>
          <w:snapToGrid/>
          <w:color w:val="000000"/>
          <w:sz w:val="22"/>
          <w:szCs w:val="22"/>
        </w:rPr>
      </w:pPr>
      <w:r>
        <w:rPr>
          <w:rFonts w:eastAsiaTheme="minorHAnsi"/>
          <w:b/>
          <w:bCs/>
          <w:snapToGrid/>
          <w:color w:val="000000"/>
          <w:sz w:val="22"/>
          <w:szCs w:val="22"/>
        </w:rPr>
        <w:t xml:space="preserve">Code of Student Conduct </w:t>
      </w:r>
      <w:hyperlink r:id="rId5" w:history="1">
        <w:r w:rsidRPr="009609C9">
          <w:rPr>
            <w:rStyle w:val="Hyperlink"/>
            <w:rFonts w:eastAsiaTheme="minorHAnsi"/>
            <w:b/>
            <w:bCs/>
            <w:snapToGrid/>
            <w:sz w:val="22"/>
            <w:szCs w:val="22"/>
          </w:rPr>
          <w:t>http://studentlife.osu.edu/csc/</w:t>
        </w:r>
      </w:hyperlink>
      <w:r w:rsidR="00334A13">
        <w:rPr>
          <w:rFonts w:eastAsiaTheme="minorHAnsi"/>
          <w:b/>
          <w:bCs/>
          <w:snapToGrid/>
          <w:color w:val="000000"/>
          <w:sz w:val="22"/>
          <w:szCs w:val="22"/>
        </w:rPr>
        <w:t>.</w:t>
      </w:r>
    </w:p>
    <w:p w14:paraId="7A4C8BAF" w14:textId="77777777" w:rsidR="00166FAA" w:rsidRPr="00136455" w:rsidRDefault="00166FAA" w:rsidP="00166FAA">
      <w:pPr>
        <w:tabs>
          <w:tab w:val="left" w:pos="540"/>
          <w:tab w:val="left" w:pos="6480"/>
          <w:tab w:val="left" w:pos="8639"/>
        </w:tabs>
        <w:rPr>
          <w:sz w:val="22"/>
          <w:szCs w:val="22"/>
        </w:rPr>
      </w:pPr>
    </w:p>
    <w:p w14:paraId="52EECA50" w14:textId="77777777" w:rsidR="00605CC3" w:rsidRDefault="00605CC3" w:rsidP="00605CC3">
      <w:pPr>
        <w:rPr>
          <w:sz w:val="32"/>
          <w:szCs w:val="32"/>
        </w:rPr>
      </w:pPr>
      <w:r w:rsidRPr="00166FAA">
        <w:rPr>
          <w:b/>
          <w:sz w:val="32"/>
          <w:szCs w:val="32"/>
        </w:rPr>
        <w:t>Students with Disabilities</w:t>
      </w:r>
      <w:r w:rsidRPr="00166FAA">
        <w:rPr>
          <w:sz w:val="32"/>
          <w:szCs w:val="32"/>
        </w:rPr>
        <w:t xml:space="preserve"> </w:t>
      </w:r>
    </w:p>
    <w:p w14:paraId="19CE5684" w14:textId="77777777" w:rsidR="00334A13" w:rsidRPr="00166FAA" w:rsidRDefault="00334A13" w:rsidP="00605CC3">
      <w:pPr>
        <w:rPr>
          <w:sz w:val="32"/>
          <w:szCs w:val="32"/>
        </w:rPr>
      </w:pPr>
    </w:p>
    <w:p w14:paraId="419D8755" w14:textId="6BF73104" w:rsidR="00605CC3" w:rsidRPr="00166FAA" w:rsidRDefault="00166FAA" w:rsidP="00166FAA">
      <w:pPr>
        <w:widowControl/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32"/>
          <w:szCs w:val="32"/>
        </w:rPr>
      </w:pPr>
      <w:r w:rsidRPr="00166FAA">
        <w:rPr>
          <w:rFonts w:eastAsiaTheme="minorHAnsi"/>
          <w:b/>
          <w:bCs/>
          <w:snapToGrid/>
          <w:color w:val="000000"/>
          <w:sz w:val="32"/>
          <w:szCs w:val="32"/>
        </w:rPr>
        <w:t xml:space="preserve">Students with disabilities that have been certified by the Office </w:t>
      </w:r>
      <w:r>
        <w:rPr>
          <w:rFonts w:eastAsiaTheme="minorHAnsi"/>
          <w:b/>
          <w:bCs/>
          <w:snapToGrid/>
          <w:color w:val="000000"/>
          <w:sz w:val="32"/>
          <w:szCs w:val="32"/>
        </w:rPr>
        <w:t xml:space="preserve">for Disability Services will be </w:t>
      </w:r>
      <w:r w:rsidRPr="00166FAA">
        <w:rPr>
          <w:rFonts w:eastAsiaTheme="minorHAnsi"/>
          <w:b/>
          <w:bCs/>
          <w:snapToGrid/>
          <w:color w:val="000000"/>
          <w:sz w:val="32"/>
          <w:szCs w:val="32"/>
        </w:rPr>
        <w:t>appropriately accommodated and should inform the instruct</w:t>
      </w:r>
      <w:r>
        <w:rPr>
          <w:rFonts w:eastAsiaTheme="minorHAnsi"/>
          <w:b/>
          <w:bCs/>
          <w:snapToGrid/>
          <w:color w:val="000000"/>
          <w:sz w:val="32"/>
          <w:szCs w:val="32"/>
        </w:rPr>
        <w:t xml:space="preserve">or as soon as possible of their </w:t>
      </w:r>
      <w:r w:rsidRPr="00166FAA">
        <w:rPr>
          <w:rFonts w:eastAsiaTheme="minorHAnsi"/>
          <w:b/>
          <w:bCs/>
          <w:snapToGrid/>
          <w:color w:val="000000"/>
          <w:sz w:val="32"/>
          <w:szCs w:val="32"/>
        </w:rPr>
        <w:t>needs. The Office for Disability Services is located in 150 P</w:t>
      </w:r>
      <w:r>
        <w:rPr>
          <w:rFonts w:eastAsiaTheme="minorHAnsi"/>
          <w:b/>
          <w:bCs/>
          <w:snapToGrid/>
          <w:color w:val="000000"/>
          <w:sz w:val="32"/>
          <w:szCs w:val="32"/>
        </w:rPr>
        <w:t xml:space="preserve">omerene Hall, 1760 Neil Avenue; </w:t>
      </w:r>
      <w:r w:rsidRPr="00166FAA">
        <w:rPr>
          <w:rFonts w:eastAsiaTheme="minorHAnsi"/>
          <w:b/>
          <w:bCs/>
          <w:snapToGrid/>
          <w:color w:val="000000"/>
          <w:sz w:val="32"/>
          <w:szCs w:val="32"/>
        </w:rPr>
        <w:t xml:space="preserve">telephone 292-3307, TDD 292-0901; </w:t>
      </w:r>
      <w:r w:rsidRPr="00166FAA">
        <w:rPr>
          <w:rFonts w:eastAsiaTheme="minorHAnsi"/>
          <w:b/>
          <w:bCs/>
          <w:snapToGrid/>
          <w:color w:val="0000FF"/>
          <w:sz w:val="32"/>
          <w:szCs w:val="32"/>
        </w:rPr>
        <w:t>http://www.ods.ohio-state.edu/</w:t>
      </w:r>
      <w:r w:rsidR="00334A13">
        <w:rPr>
          <w:rFonts w:eastAsiaTheme="minorHAnsi"/>
          <w:b/>
          <w:bCs/>
          <w:snapToGrid/>
          <w:color w:val="000000"/>
          <w:sz w:val="32"/>
          <w:szCs w:val="32"/>
        </w:rPr>
        <w:t>.</w:t>
      </w:r>
    </w:p>
    <w:p w14:paraId="535D9907" w14:textId="77777777" w:rsidR="00605CC3" w:rsidRPr="00136455" w:rsidRDefault="00605CC3" w:rsidP="00605CC3">
      <w:pPr>
        <w:tabs>
          <w:tab w:val="left" w:pos="540"/>
          <w:tab w:val="left" w:pos="6480"/>
          <w:tab w:val="left" w:pos="8639"/>
        </w:tabs>
        <w:rPr>
          <w:b/>
          <w:sz w:val="22"/>
          <w:szCs w:val="22"/>
        </w:rPr>
      </w:pPr>
    </w:p>
    <w:p w14:paraId="48C47084" w14:textId="77777777" w:rsidR="00605CC3" w:rsidRPr="00136455" w:rsidRDefault="00605CC3" w:rsidP="00605CC3">
      <w:pPr>
        <w:tabs>
          <w:tab w:val="left" w:pos="540"/>
          <w:tab w:val="left" w:pos="6480"/>
          <w:tab w:val="left" w:pos="8639"/>
        </w:tabs>
        <w:rPr>
          <w:sz w:val="22"/>
          <w:szCs w:val="22"/>
        </w:rPr>
      </w:pPr>
      <w:r w:rsidRPr="00136455">
        <w:rPr>
          <w:b/>
          <w:sz w:val="22"/>
          <w:szCs w:val="22"/>
        </w:rPr>
        <w:t>Biographical Statement</w:t>
      </w:r>
    </w:p>
    <w:p w14:paraId="0FA7B4A9" w14:textId="77E2AD6C" w:rsidR="00605CC3" w:rsidRPr="00136455" w:rsidRDefault="00605CC3" w:rsidP="00605CC3">
      <w:pPr>
        <w:tabs>
          <w:tab w:val="left" w:pos="540"/>
          <w:tab w:val="left" w:pos="6480"/>
          <w:tab w:val="left" w:pos="8639"/>
        </w:tabs>
        <w:rPr>
          <w:sz w:val="22"/>
          <w:szCs w:val="22"/>
        </w:rPr>
      </w:pPr>
      <w:r w:rsidRPr="00136455">
        <w:rPr>
          <w:sz w:val="22"/>
          <w:szCs w:val="22"/>
        </w:rPr>
        <w:t>Matthew Birkhold is an assistant professor of German</w:t>
      </w:r>
      <w:r w:rsidR="00AB0F20" w:rsidRPr="00136455">
        <w:rPr>
          <w:sz w:val="22"/>
          <w:szCs w:val="22"/>
        </w:rPr>
        <w:t xml:space="preserve"> literature</w:t>
      </w:r>
      <w:r w:rsidRPr="00136455">
        <w:rPr>
          <w:sz w:val="22"/>
          <w:szCs w:val="22"/>
        </w:rPr>
        <w:t xml:space="preserve"> and </w:t>
      </w:r>
      <w:r w:rsidR="00AB0F20" w:rsidRPr="00136455">
        <w:rPr>
          <w:sz w:val="22"/>
          <w:szCs w:val="22"/>
        </w:rPr>
        <w:t>l</w:t>
      </w:r>
      <w:r w:rsidRPr="00136455">
        <w:rPr>
          <w:sz w:val="22"/>
          <w:szCs w:val="22"/>
        </w:rPr>
        <w:t>aw. His research focuses on the intersection of law, culture, and the humanities</w:t>
      </w:r>
      <w:r w:rsidR="00BB6632" w:rsidRPr="00136455">
        <w:rPr>
          <w:sz w:val="22"/>
          <w:szCs w:val="22"/>
        </w:rPr>
        <w:t xml:space="preserve"> and</w:t>
      </w:r>
      <w:r w:rsidR="006017F8">
        <w:rPr>
          <w:sz w:val="22"/>
          <w:szCs w:val="22"/>
        </w:rPr>
        <w:t xml:space="preserve"> his writing</w:t>
      </w:r>
      <w:r w:rsidR="00BB6632" w:rsidRPr="00136455">
        <w:rPr>
          <w:sz w:val="22"/>
          <w:szCs w:val="22"/>
        </w:rPr>
        <w:t xml:space="preserve"> covers a range of subjects </w:t>
      </w:r>
      <w:r w:rsidR="006017F8">
        <w:rPr>
          <w:sz w:val="22"/>
          <w:szCs w:val="22"/>
        </w:rPr>
        <w:t xml:space="preserve">– </w:t>
      </w:r>
      <w:r w:rsidRPr="00136455">
        <w:rPr>
          <w:sz w:val="22"/>
          <w:szCs w:val="22"/>
        </w:rPr>
        <w:t>from</w:t>
      </w:r>
      <w:r w:rsidR="00BB6632" w:rsidRPr="00136455">
        <w:rPr>
          <w:sz w:val="22"/>
          <w:szCs w:val="22"/>
        </w:rPr>
        <w:t xml:space="preserve"> literature and copyright to pornography and Native American artifacts</w:t>
      </w:r>
      <w:r w:rsidRPr="00136455">
        <w:rPr>
          <w:sz w:val="22"/>
          <w:szCs w:val="22"/>
        </w:rPr>
        <w:t xml:space="preserve">. </w:t>
      </w:r>
      <w:r w:rsidR="006017F8">
        <w:rPr>
          <w:sz w:val="22"/>
          <w:szCs w:val="22"/>
        </w:rPr>
        <w:t xml:space="preserve">Matthew teaches undergraduate courses on: fan fiction; literary adaptations; and law and literature. </w:t>
      </w:r>
      <w:r w:rsidR="00AB0F20" w:rsidRPr="00136455">
        <w:rPr>
          <w:sz w:val="22"/>
          <w:szCs w:val="22"/>
        </w:rPr>
        <w:t>Prior to joining the faculty, he</w:t>
      </w:r>
      <w:r w:rsidR="00BB6632" w:rsidRPr="00136455">
        <w:rPr>
          <w:sz w:val="22"/>
          <w:szCs w:val="22"/>
        </w:rPr>
        <w:t xml:space="preserve"> worked as an attorney-adviser to the U.S. Department of State, where he advised on issues related to international law, ethics, and po</w:t>
      </w:r>
      <w:r w:rsidR="00AB0F20" w:rsidRPr="00136455">
        <w:rPr>
          <w:sz w:val="22"/>
          <w:szCs w:val="22"/>
        </w:rPr>
        <w:t>litical activity restrictions on</w:t>
      </w:r>
      <w:r w:rsidR="00BB6632" w:rsidRPr="00136455">
        <w:rPr>
          <w:sz w:val="22"/>
          <w:szCs w:val="22"/>
        </w:rPr>
        <w:t xml:space="preserve"> government employees. </w:t>
      </w:r>
      <w:r w:rsidRPr="00136455">
        <w:rPr>
          <w:sz w:val="22"/>
          <w:szCs w:val="22"/>
        </w:rPr>
        <w:t xml:space="preserve"> </w:t>
      </w:r>
    </w:p>
    <w:p w14:paraId="096CCCAD" w14:textId="77777777" w:rsidR="00605CC3" w:rsidRPr="00136455" w:rsidRDefault="00605CC3" w:rsidP="00605CC3">
      <w:pPr>
        <w:rPr>
          <w:sz w:val="22"/>
          <w:szCs w:val="22"/>
        </w:rPr>
      </w:pPr>
    </w:p>
    <w:p w14:paraId="2DF4C71D" w14:textId="77777777" w:rsidR="00605CC3" w:rsidRPr="00136455" w:rsidRDefault="00605CC3" w:rsidP="00605CC3">
      <w:pPr>
        <w:rPr>
          <w:b/>
          <w:sz w:val="22"/>
          <w:szCs w:val="22"/>
        </w:rPr>
      </w:pPr>
    </w:p>
    <w:p w14:paraId="22877B34" w14:textId="77777777" w:rsidR="00605CC3" w:rsidRPr="00136455" w:rsidRDefault="00605CC3" w:rsidP="00605CC3">
      <w:pPr>
        <w:rPr>
          <w:sz w:val="22"/>
          <w:szCs w:val="22"/>
        </w:rPr>
      </w:pPr>
      <w:r w:rsidRPr="00136455">
        <w:rPr>
          <w:b/>
          <w:sz w:val="22"/>
          <w:szCs w:val="22"/>
        </w:rPr>
        <w:t>Weekly Readings:</w:t>
      </w:r>
    </w:p>
    <w:p w14:paraId="6797A91A" w14:textId="3F1F781E" w:rsidR="008A4D44" w:rsidRPr="00136455" w:rsidRDefault="00954630" w:rsidP="00980A1D">
      <w:pPr>
        <w:rPr>
          <w:sz w:val="22"/>
          <w:szCs w:val="22"/>
        </w:rPr>
      </w:pPr>
    </w:p>
    <w:p w14:paraId="7B2E055E" w14:textId="77777777" w:rsidR="0037795F" w:rsidRPr="00136455" w:rsidRDefault="004C6D42" w:rsidP="0037795F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sz w:val="22"/>
          <w:szCs w:val="22"/>
        </w:rPr>
      </w:pPr>
      <w:r w:rsidRPr="00136455">
        <w:rPr>
          <w:b/>
          <w:sz w:val="22"/>
          <w:szCs w:val="22"/>
        </w:rPr>
        <w:t xml:space="preserve">Introduction to </w:t>
      </w:r>
      <w:r w:rsidR="00AB68F7" w:rsidRPr="00136455">
        <w:rPr>
          <w:b/>
          <w:sz w:val="22"/>
          <w:szCs w:val="22"/>
        </w:rPr>
        <w:t xml:space="preserve">Free Speech and </w:t>
      </w:r>
      <w:r w:rsidRPr="00136455">
        <w:rPr>
          <w:b/>
          <w:sz w:val="22"/>
          <w:szCs w:val="22"/>
        </w:rPr>
        <w:t>the Free Speech Clause</w:t>
      </w:r>
    </w:p>
    <w:p w14:paraId="58722554" w14:textId="35396E21" w:rsidR="000170E4" w:rsidRPr="00136455" w:rsidRDefault="000170E4" w:rsidP="0037795F">
      <w:pPr>
        <w:pStyle w:val="NormalWeb"/>
        <w:numPr>
          <w:ilvl w:val="0"/>
          <w:numId w:val="7"/>
        </w:numPr>
        <w:spacing w:before="0" w:beforeAutospacing="0" w:after="0" w:afterAutospacing="0"/>
        <w:rPr>
          <w:b/>
          <w:sz w:val="22"/>
          <w:szCs w:val="22"/>
        </w:rPr>
      </w:pPr>
      <w:r w:rsidRPr="00136455">
        <w:rPr>
          <w:sz w:val="22"/>
          <w:szCs w:val="22"/>
        </w:rPr>
        <w:t xml:space="preserve">Kerr, “How to read a legal opinion,” </w:t>
      </w:r>
      <w:r w:rsidR="0037795F" w:rsidRPr="00136455">
        <w:rPr>
          <w:sz w:val="22"/>
          <w:szCs w:val="22"/>
        </w:rPr>
        <w:t>p. 51-61</w:t>
      </w:r>
    </w:p>
    <w:p w14:paraId="55B1B4FF" w14:textId="77777777" w:rsidR="00AB68F7" w:rsidRPr="00136455" w:rsidRDefault="00AB68F7" w:rsidP="00AB68F7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08F65173" w14:textId="7D8A2445" w:rsidR="004C6D42" w:rsidRPr="00136455" w:rsidRDefault="004C6D42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>What is “Speech”? How do we analyze it?</w:t>
      </w:r>
      <w:r w:rsidR="00AB68F7" w:rsidRPr="00136455">
        <w:rPr>
          <w:b/>
          <w:color w:val="000000"/>
          <w:sz w:val="22"/>
          <w:szCs w:val="22"/>
        </w:rPr>
        <w:t xml:space="preserve"> Why should we protect it?</w:t>
      </w:r>
    </w:p>
    <w:p w14:paraId="64710494" w14:textId="0107E711" w:rsidR="00AB68F7" w:rsidRPr="00136455" w:rsidRDefault="00AB68F7" w:rsidP="00AB68F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36455">
        <w:rPr>
          <w:sz w:val="22"/>
          <w:szCs w:val="22"/>
        </w:rPr>
        <w:t xml:space="preserve">Thomas Scanlon “A Theory of freedom of expression”, in </w:t>
      </w:r>
      <w:r w:rsidR="00AB0F20" w:rsidRPr="00136455">
        <w:rPr>
          <w:i/>
          <w:iCs/>
          <w:sz w:val="22"/>
          <w:szCs w:val="22"/>
        </w:rPr>
        <w:t>The D</w:t>
      </w:r>
      <w:r w:rsidRPr="00136455">
        <w:rPr>
          <w:i/>
          <w:iCs/>
          <w:sz w:val="22"/>
          <w:szCs w:val="22"/>
        </w:rPr>
        <w:t>ifficulty of Tolerance, Essays in Political Philosophy</w:t>
      </w:r>
      <w:r w:rsidR="00AB0F20" w:rsidRPr="00136455">
        <w:rPr>
          <w:sz w:val="22"/>
          <w:szCs w:val="22"/>
        </w:rPr>
        <w:t xml:space="preserve"> (</w:t>
      </w:r>
      <w:r w:rsidRPr="00136455">
        <w:rPr>
          <w:sz w:val="22"/>
          <w:szCs w:val="22"/>
        </w:rPr>
        <w:t>2003</w:t>
      </w:r>
      <w:r w:rsidR="00AB0F20" w:rsidRPr="00136455">
        <w:rPr>
          <w:sz w:val="22"/>
          <w:szCs w:val="22"/>
        </w:rPr>
        <w:t>)</w:t>
      </w:r>
      <w:r w:rsidRPr="00136455">
        <w:rPr>
          <w:sz w:val="22"/>
          <w:szCs w:val="22"/>
        </w:rPr>
        <w:t xml:space="preserve">, p. 6-25. </w:t>
      </w:r>
    </w:p>
    <w:p w14:paraId="5EC999FD" w14:textId="77777777" w:rsidR="00AB68F7" w:rsidRPr="00136455" w:rsidRDefault="00AB68F7" w:rsidP="00AB68F7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36455">
        <w:rPr>
          <w:sz w:val="22"/>
          <w:szCs w:val="22"/>
        </w:rPr>
        <w:t xml:space="preserve">Ronald Dworkin, “Why must speech be free?” in </w:t>
      </w:r>
      <w:r w:rsidRPr="00136455">
        <w:rPr>
          <w:i/>
          <w:iCs/>
          <w:sz w:val="22"/>
          <w:szCs w:val="22"/>
        </w:rPr>
        <w:t>Freedom’s Law</w:t>
      </w:r>
      <w:r w:rsidRPr="00136455">
        <w:rPr>
          <w:sz w:val="22"/>
          <w:szCs w:val="22"/>
        </w:rPr>
        <w:t xml:space="preserve">, p. 195-213. </w:t>
      </w:r>
    </w:p>
    <w:p w14:paraId="76EB7082" w14:textId="5AB5CD60" w:rsidR="00AB68F7" w:rsidRPr="00136455" w:rsidRDefault="00AB68F7" w:rsidP="003779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136455">
        <w:rPr>
          <w:rFonts w:ascii="Times New Roman" w:hAnsi="Times New Roman"/>
        </w:rPr>
        <w:t>Kent Greenawalt, “Free Speech Justifications”, Columbia Law Review, vol. 89, 1989, p. 119-55.</w:t>
      </w:r>
    </w:p>
    <w:p w14:paraId="379E6A4C" w14:textId="065867ED" w:rsidR="00AB68F7" w:rsidRPr="00136455" w:rsidRDefault="00AB68F7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 xml:space="preserve">Advocacy of Illegal Conduct </w:t>
      </w:r>
    </w:p>
    <w:p w14:paraId="1D79850A" w14:textId="008DEB83" w:rsidR="00AB68F7" w:rsidRPr="00136455" w:rsidRDefault="00AB68F7" w:rsidP="00AB68F7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color w:val="000000"/>
          <w:sz w:val="22"/>
          <w:szCs w:val="22"/>
        </w:rPr>
        <w:lastRenderedPageBreak/>
        <w:t xml:space="preserve">Stone, p. </w:t>
      </w:r>
      <w:r w:rsidRPr="00136455">
        <w:rPr>
          <w:rFonts w:eastAsiaTheme="minorHAnsi"/>
          <w:sz w:val="22"/>
          <w:szCs w:val="22"/>
        </w:rPr>
        <w:t>1038 – 1076</w:t>
      </w:r>
    </w:p>
    <w:p w14:paraId="4B876118" w14:textId="77777777" w:rsidR="00AB68F7" w:rsidRPr="00136455" w:rsidRDefault="00AB68F7" w:rsidP="00AB68F7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6C9F5090" w14:textId="7FA1AC75" w:rsidR="004C6D42" w:rsidRPr="00136455" w:rsidRDefault="00AB68F7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>Hostile Audience and Fighting Words</w:t>
      </w:r>
    </w:p>
    <w:p w14:paraId="0A587C35" w14:textId="0CA78AB1" w:rsidR="00AB68F7" w:rsidRPr="00136455" w:rsidRDefault="00AB68F7" w:rsidP="00AB68F7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rFonts w:eastAsiaTheme="minorHAnsi"/>
          <w:sz w:val="22"/>
          <w:szCs w:val="22"/>
        </w:rPr>
        <w:t>Stone, p. 1076 – 1091</w:t>
      </w:r>
    </w:p>
    <w:p w14:paraId="79AA9946" w14:textId="77777777" w:rsidR="00AB68F7" w:rsidRPr="00136455" w:rsidRDefault="00AB68F7" w:rsidP="00AB68F7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36E28F76" w14:textId="41F49516" w:rsidR="004C6D42" w:rsidRPr="00136455" w:rsidRDefault="000170E4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 xml:space="preserve">Obscenity </w:t>
      </w:r>
    </w:p>
    <w:p w14:paraId="284C1472" w14:textId="2450D288" w:rsidR="000170E4" w:rsidRPr="00136455" w:rsidRDefault="000170E4" w:rsidP="000170E4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rFonts w:eastAsiaTheme="minorHAnsi"/>
          <w:sz w:val="22"/>
          <w:szCs w:val="22"/>
        </w:rPr>
        <w:t xml:space="preserve">Stone, p. </w:t>
      </w:r>
      <w:r w:rsidR="00AB68F7" w:rsidRPr="00136455">
        <w:rPr>
          <w:rFonts w:eastAsiaTheme="minorHAnsi"/>
          <w:sz w:val="22"/>
          <w:szCs w:val="22"/>
        </w:rPr>
        <w:t xml:space="preserve">1172 </w:t>
      </w:r>
      <w:r w:rsidRPr="00136455">
        <w:rPr>
          <w:rFonts w:eastAsiaTheme="minorHAnsi"/>
          <w:sz w:val="22"/>
          <w:szCs w:val="22"/>
        </w:rPr>
        <w:t>–</w:t>
      </w:r>
      <w:r w:rsidR="00AB68F7" w:rsidRPr="00136455">
        <w:rPr>
          <w:rFonts w:eastAsiaTheme="minorHAnsi"/>
          <w:sz w:val="22"/>
          <w:szCs w:val="22"/>
        </w:rPr>
        <w:t xml:space="preserve"> 1201</w:t>
      </w:r>
    </w:p>
    <w:p w14:paraId="4BA980E6" w14:textId="77777777" w:rsidR="00136455" w:rsidRPr="00136455" w:rsidRDefault="00136455" w:rsidP="0013645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09B91E34" w14:textId="62A4FAE4" w:rsidR="000170E4" w:rsidRPr="00136455" w:rsidRDefault="000170E4" w:rsidP="000170E4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rFonts w:eastAsiaTheme="minorHAnsi"/>
          <w:b/>
          <w:sz w:val="22"/>
          <w:szCs w:val="22"/>
        </w:rPr>
        <w:t xml:space="preserve">Pornography </w:t>
      </w:r>
    </w:p>
    <w:p w14:paraId="210671DD" w14:textId="25ECEB55" w:rsidR="00AB0F20" w:rsidRPr="00136455" w:rsidRDefault="00655E56" w:rsidP="00AB0F20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136455">
        <w:rPr>
          <w:rFonts w:ascii="Times New Roman" w:hAnsi="Times New Roman"/>
        </w:rPr>
        <w:t xml:space="preserve">Gewirtz, “On ‘I Know It When I See It’” </w:t>
      </w:r>
      <w:r w:rsidRPr="00136455">
        <w:rPr>
          <w:rFonts w:ascii="Times New Roman" w:hAnsi="Times New Roman"/>
          <w:i/>
        </w:rPr>
        <w:t>Yale Law Journal</w:t>
      </w:r>
      <w:r w:rsidR="00AB0F20" w:rsidRPr="00136455">
        <w:rPr>
          <w:rFonts w:ascii="Times New Roman" w:hAnsi="Times New Roman"/>
        </w:rPr>
        <w:t>, v</w:t>
      </w:r>
      <w:r w:rsidRPr="00136455">
        <w:rPr>
          <w:rFonts w:ascii="Times New Roman" w:hAnsi="Times New Roman"/>
        </w:rPr>
        <w:t xml:space="preserve">ol. 105 </w:t>
      </w:r>
    </w:p>
    <w:p w14:paraId="4D6D6069" w14:textId="7A308317" w:rsidR="00AB0F20" w:rsidRPr="00136455" w:rsidRDefault="00655E56" w:rsidP="00AB0F20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136455">
        <w:rPr>
          <w:rFonts w:ascii="Times New Roman" w:hAnsi="Times New Roman"/>
          <w:color w:val="000000"/>
        </w:rPr>
        <w:t xml:space="preserve">Greenawalt, </w:t>
      </w:r>
      <w:r w:rsidRPr="00136455">
        <w:rPr>
          <w:rFonts w:ascii="Times New Roman" w:hAnsi="Times New Roman"/>
          <w:i/>
          <w:iCs/>
          <w:color w:val="000000"/>
        </w:rPr>
        <w:t>Fighting Words, Individuals, Communities and Liberties of Speech</w:t>
      </w:r>
      <w:r w:rsidRPr="00136455">
        <w:rPr>
          <w:rFonts w:ascii="Times New Roman" w:hAnsi="Times New Roman"/>
          <w:color w:val="000000"/>
        </w:rPr>
        <w:t>, p. 47-98.</w:t>
      </w:r>
    </w:p>
    <w:p w14:paraId="2B62622F" w14:textId="6C10B404" w:rsidR="00AB0F20" w:rsidRPr="00136455" w:rsidRDefault="00AB0F20" w:rsidP="00136455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136455">
        <w:rPr>
          <w:rFonts w:ascii="Times New Roman" w:eastAsiaTheme="minorHAnsi" w:hAnsi="Times New Roman"/>
        </w:rPr>
        <w:t xml:space="preserve">Catherine A. MacKinnon, </w:t>
      </w:r>
      <w:r w:rsidR="00136455" w:rsidRPr="00136455">
        <w:rPr>
          <w:rFonts w:ascii="Times New Roman" w:eastAsiaTheme="minorHAnsi" w:hAnsi="Times New Roman"/>
        </w:rPr>
        <w:t>“</w:t>
      </w:r>
      <w:r w:rsidRPr="00136455">
        <w:rPr>
          <w:rFonts w:ascii="Times New Roman" w:eastAsiaTheme="minorHAnsi" w:hAnsi="Times New Roman"/>
          <w:iCs/>
        </w:rPr>
        <w:t>Porno</w:t>
      </w:r>
      <w:r w:rsidR="00136455" w:rsidRPr="00136455">
        <w:rPr>
          <w:rFonts w:ascii="Times New Roman" w:eastAsiaTheme="minorHAnsi" w:hAnsi="Times New Roman"/>
          <w:iCs/>
        </w:rPr>
        <w:t>graphy, Civil Rights and Speech,”</w:t>
      </w:r>
      <w:r w:rsidRPr="00136455">
        <w:rPr>
          <w:rFonts w:ascii="Times New Roman" w:eastAsiaTheme="minorHAnsi" w:hAnsi="Times New Roman"/>
          <w:i/>
          <w:iCs/>
        </w:rPr>
        <w:t xml:space="preserve"> </w:t>
      </w:r>
      <w:r w:rsidRPr="00136455">
        <w:rPr>
          <w:rFonts w:ascii="Times New Roman" w:eastAsiaTheme="minorHAnsi" w:hAnsi="Times New Roman"/>
          <w:i/>
        </w:rPr>
        <w:t>Harvard Civil Rights, Civil Liberties Law Review</w:t>
      </w:r>
      <w:r w:rsidRPr="00136455">
        <w:rPr>
          <w:rFonts w:ascii="Times New Roman" w:eastAsiaTheme="minorHAnsi" w:hAnsi="Times New Roman"/>
        </w:rPr>
        <w:t xml:space="preserve">, vol. 20 (1985). </w:t>
      </w:r>
    </w:p>
    <w:p w14:paraId="2CA6721E" w14:textId="279F4225" w:rsidR="004C6D42" w:rsidRPr="00136455" w:rsidRDefault="000170E4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>Lewd and Indecent Speech</w:t>
      </w:r>
    </w:p>
    <w:p w14:paraId="4C7B0C9A" w14:textId="66918F72" w:rsidR="000170E4" w:rsidRPr="00136455" w:rsidRDefault="000170E4" w:rsidP="000170E4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color w:val="000000"/>
          <w:sz w:val="22"/>
          <w:szCs w:val="22"/>
        </w:rPr>
        <w:t xml:space="preserve">Stone, p. </w:t>
      </w:r>
      <w:r w:rsidRPr="00136455">
        <w:rPr>
          <w:rFonts w:eastAsiaTheme="minorHAnsi"/>
          <w:sz w:val="22"/>
          <w:szCs w:val="22"/>
        </w:rPr>
        <w:t>1201 – 1223</w:t>
      </w:r>
    </w:p>
    <w:p w14:paraId="0BA384BD" w14:textId="77777777" w:rsidR="000170E4" w:rsidRPr="00136455" w:rsidRDefault="000170E4" w:rsidP="000170E4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0874B0FC" w14:textId="6206A214" w:rsidR="004C6D42" w:rsidRPr="00136455" w:rsidRDefault="000170E4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>Hate Speech</w:t>
      </w:r>
    </w:p>
    <w:p w14:paraId="1B1DD1CF" w14:textId="6B8BEE43" w:rsidR="000170E4" w:rsidRPr="00136455" w:rsidRDefault="000170E4" w:rsidP="000170E4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color w:val="000000"/>
          <w:sz w:val="22"/>
          <w:szCs w:val="22"/>
        </w:rPr>
        <w:t xml:space="preserve">Stone, p. </w:t>
      </w:r>
      <w:r w:rsidRPr="00136455">
        <w:rPr>
          <w:rFonts w:eastAsiaTheme="minorHAnsi"/>
          <w:sz w:val="22"/>
          <w:szCs w:val="22"/>
        </w:rPr>
        <w:t>1223 – 1254</w:t>
      </w:r>
    </w:p>
    <w:p w14:paraId="6E39E713" w14:textId="77777777" w:rsidR="000170E4" w:rsidRPr="00136455" w:rsidRDefault="000170E4" w:rsidP="000170E4">
      <w:pPr>
        <w:pStyle w:val="NormalWeb"/>
        <w:spacing w:before="0" w:beforeAutospacing="0" w:after="0" w:afterAutospacing="0"/>
        <w:rPr>
          <w:rFonts w:eastAsiaTheme="minorHAnsi"/>
          <w:sz w:val="22"/>
          <w:szCs w:val="22"/>
        </w:rPr>
      </w:pPr>
    </w:p>
    <w:p w14:paraId="72408137" w14:textId="0A1F0804" w:rsidR="000170E4" w:rsidRPr="00136455" w:rsidRDefault="000170E4" w:rsidP="000170E4">
      <w:pPr>
        <w:pStyle w:val="NormalWeb"/>
        <w:numPr>
          <w:ilvl w:val="0"/>
          <w:numId w:val="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36455">
        <w:rPr>
          <w:rFonts w:eastAsiaTheme="minorHAnsi"/>
          <w:b/>
          <w:sz w:val="22"/>
          <w:szCs w:val="22"/>
        </w:rPr>
        <w:t>Hate Speech and Campus Life</w:t>
      </w:r>
    </w:p>
    <w:p w14:paraId="6EA78537" w14:textId="72C6E513" w:rsidR="00136455" w:rsidRPr="00136455" w:rsidRDefault="00136455" w:rsidP="0013645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136455">
        <w:rPr>
          <w:rFonts w:ascii="Times New Roman" w:hAnsi="Times New Roman"/>
        </w:rPr>
        <w:t xml:space="preserve">Tomothy C. Shiell, </w:t>
      </w:r>
      <w:r w:rsidRPr="00136455">
        <w:rPr>
          <w:rFonts w:ascii="Times New Roman" w:hAnsi="Times New Roman"/>
          <w:i/>
        </w:rPr>
        <w:t>Campus Hate Speech on Trial</w:t>
      </w:r>
      <w:r w:rsidRPr="00136455">
        <w:rPr>
          <w:rFonts w:ascii="Times New Roman" w:hAnsi="Times New Roman"/>
        </w:rPr>
        <w:t>, chapter 4 “See You in Court: The Campus Hate Speech Cases,” p. 71-94.</w:t>
      </w:r>
    </w:p>
    <w:p w14:paraId="6890E0B7" w14:textId="77777777" w:rsidR="000170E4" w:rsidRPr="00136455" w:rsidRDefault="000170E4" w:rsidP="0013645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136455">
        <w:rPr>
          <w:rFonts w:ascii="Times New Roman" w:hAnsi="Times New Roman"/>
        </w:rPr>
        <w:t>Hinds, “A Campus Case”</w:t>
      </w:r>
    </w:p>
    <w:p w14:paraId="508D1AE5" w14:textId="5E6C740A" w:rsidR="000170E4" w:rsidRPr="00136455" w:rsidRDefault="00136455" w:rsidP="00136455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</w:rPr>
      </w:pPr>
      <w:r w:rsidRPr="00136455">
        <w:rPr>
          <w:rFonts w:ascii="Times New Roman" w:hAnsi="Times New Roman"/>
        </w:rPr>
        <w:t>Daniel Solove, “</w:t>
      </w:r>
      <w:r w:rsidR="000170E4" w:rsidRPr="00136455">
        <w:rPr>
          <w:rFonts w:ascii="Times New Roman" w:hAnsi="Times New Roman"/>
        </w:rPr>
        <w:t>School Discipline for Off-Campus Speech and the First Amendment</w:t>
      </w:r>
      <w:r w:rsidRPr="00136455">
        <w:rPr>
          <w:rFonts w:ascii="Times New Roman" w:hAnsi="Times New Roman"/>
        </w:rPr>
        <w:t>,”</w:t>
      </w:r>
      <w:r w:rsidR="000170E4" w:rsidRPr="00136455">
        <w:rPr>
          <w:rFonts w:ascii="Times New Roman" w:eastAsia="Times New Roman" w:hAnsi="Times New Roman"/>
        </w:rPr>
        <w:t xml:space="preserve"> Huffington Post Educ</w:t>
      </w:r>
      <w:r w:rsidRPr="00136455">
        <w:rPr>
          <w:rFonts w:ascii="Times New Roman" w:hAnsi="Times New Roman"/>
        </w:rPr>
        <w:t xml:space="preserve">ation blog, June 20, 2011. </w:t>
      </w:r>
    </w:p>
    <w:p w14:paraId="3384B5BA" w14:textId="398C0ABB" w:rsidR="000170E4" w:rsidRPr="00136455" w:rsidRDefault="00136455" w:rsidP="00136455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</w:rPr>
      </w:pPr>
      <w:r w:rsidRPr="00136455">
        <w:rPr>
          <w:rFonts w:ascii="Times New Roman" w:hAnsi="Times New Roman"/>
        </w:rPr>
        <w:t>Sam Favate, “</w:t>
      </w:r>
      <w:r w:rsidR="000170E4" w:rsidRPr="00136455">
        <w:rPr>
          <w:rFonts w:ascii="Times New Roman" w:hAnsi="Times New Roman"/>
        </w:rPr>
        <w:t>Court: Student’s Facebook Messages Are Protected Speech</w:t>
      </w:r>
      <w:r w:rsidRPr="00136455">
        <w:rPr>
          <w:rFonts w:ascii="Times New Roman" w:hAnsi="Times New Roman"/>
        </w:rPr>
        <w:t>,” WSJ.com, September 18, 2012.</w:t>
      </w:r>
    </w:p>
    <w:p w14:paraId="4C848B5D" w14:textId="77777777" w:rsidR="00136455" w:rsidRPr="00136455" w:rsidRDefault="00136455" w:rsidP="00136455">
      <w:pPr>
        <w:pStyle w:val="ListParagraph"/>
        <w:ind w:left="1080"/>
        <w:rPr>
          <w:rFonts w:ascii="Times New Roman" w:eastAsia="Times New Roman" w:hAnsi="Times New Roman"/>
        </w:rPr>
      </w:pPr>
    </w:p>
    <w:p w14:paraId="65490277" w14:textId="77777777" w:rsidR="000170E4" w:rsidRPr="00136455" w:rsidRDefault="000170E4" w:rsidP="000170E4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136455">
        <w:rPr>
          <w:rFonts w:ascii="Times New Roman" w:hAnsi="Times New Roman"/>
          <w:b/>
        </w:rPr>
        <w:t>Public Nuisance or Public Space?</w:t>
      </w:r>
    </w:p>
    <w:p w14:paraId="01A51E99" w14:textId="27C05C6E" w:rsidR="000170E4" w:rsidRPr="00136455" w:rsidRDefault="000170E4" w:rsidP="0013645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36455">
        <w:rPr>
          <w:rFonts w:ascii="Times New Roman" w:hAnsi="Times New Roman"/>
          <w:i/>
        </w:rPr>
        <w:t>Collin v. Smith</w:t>
      </w:r>
      <w:r w:rsidR="00136455" w:rsidRPr="00136455">
        <w:rPr>
          <w:rFonts w:ascii="Times New Roman" w:hAnsi="Times New Roman"/>
          <w:i/>
        </w:rPr>
        <w:t xml:space="preserve">; </w:t>
      </w:r>
      <w:r w:rsidRPr="00136455">
        <w:rPr>
          <w:rFonts w:ascii="Times New Roman" w:hAnsi="Times New Roman"/>
          <w:i/>
        </w:rPr>
        <w:t>Smith v. Collin</w:t>
      </w:r>
    </w:p>
    <w:p w14:paraId="3693741A" w14:textId="77777777" w:rsidR="000170E4" w:rsidRPr="00136455" w:rsidRDefault="000170E4" w:rsidP="000170E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136455">
        <w:rPr>
          <w:rFonts w:ascii="Times New Roman" w:hAnsi="Times New Roman"/>
          <w:i/>
        </w:rPr>
        <w:t>International Society for Krishna Consciousness, Inc. v. Lee</w:t>
      </w:r>
      <w:r w:rsidRPr="00136455">
        <w:rPr>
          <w:rFonts w:ascii="Times New Roman" w:hAnsi="Times New Roman"/>
        </w:rPr>
        <w:t xml:space="preserve"> </w:t>
      </w:r>
    </w:p>
    <w:p w14:paraId="6D3C1FCE" w14:textId="13E34A0D" w:rsidR="000170E4" w:rsidRPr="00136455" w:rsidRDefault="000170E4" w:rsidP="000170E4">
      <w:pPr>
        <w:pStyle w:val="ListParagraph"/>
        <w:numPr>
          <w:ilvl w:val="0"/>
          <w:numId w:val="6"/>
        </w:numPr>
        <w:rPr>
          <w:rFonts w:ascii="Times New Roman" w:hAnsi="Times New Roman"/>
          <w:i/>
        </w:rPr>
      </w:pPr>
      <w:r w:rsidRPr="00136455">
        <w:rPr>
          <w:rFonts w:ascii="Times New Roman" w:hAnsi="Times New Roman"/>
        </w:rPr>
        <w:t xml:space="preserve">Laura Beth Nielsen, </w:t>
      </w:r>
      <w:r w:rsidRPr="00136455">
        <w:rPr>
          <w:rFonts w:ascii="Times New Roman" w:hAnsi="Times New Roman"/>
          <w:i/>
        </w:rPr>
        <w:t>License to Harass: Law, Hierarchy, and Offensive Public Speech</w:t>
      </w:r>
      <w:r w:rsidRPr="00136455">
        <w:rPr>
          <w:rFonts w:ascii="Times New Roman" w:hAnsi="Times New Roman"/>
        </w:rPr>
        <w:t>, pp. 3, 20-31,168-80</w:t>
      </w:r>
      <w:r w:rsidR="00136455" w:rsidRPr="00136455">
        <w:rPr>
          <w:rFonts w:ascii="Times New Roman" w:hAnsi="Times New Roman"/>
        </w:rPr>
        <w:t>.</w:t>
      </w:r>
    </w:p>
    <w:p w14:paraId="43411927" w14:textId="2BAAFB10" w:rsidR="004C6D42" w:rsidRPr="00136455" w:rsidRDefault="000170E4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 xml:space="preserve">Current </w:t>
      </w:r>
      <w:r w:rsidR="00136455" w:rsidRPr="00136455">
        <w:rPr>
          <w:b/>
          <w:color w:val="000000"/>
          <w:sz w:val="22"/>
          <w:szCs w:val="22"/>
        </w:rPr>
        <w:t>Issues</w:t>
      </w:r>
    </w:p>
    <w:p w14:paraId="66610C68" w14:textId="77777777" w:rsidR="00204902" w:rsidRPr="00136455" w:rsidRDefault="00204902" w:rsidP="00204902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136C53E2" w14:textId="04D0733D" w:rsidR="00204902" w:rsidRPr="00136455" w:rsidRDefault="00136455" w:rsidP="00204902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 xml:space="preserve">Current Issues </w:t>
      </w:r>
    </w:p>
    <w:p w14:paraId="39D7B40D" w14:textId="77777777" w:rsidR="000170E4" w:rsidRPr="00136455" w:rsidRDefault="000170E4" w:rsidP="000170E4">
      <w:pPr>
        <w:pStyle w:val="NormalWeb"/>
        <w:spacing w:before="0" w:beforeAutospacing="0" w:after="0" w:afterAutospacing="0"/>
        <w:ind w:left="720"/>
        <w:rPr>
          <w:b/>
          <w:color w:val="000000"/>
          <w:sz w:val="22"/>
          <w:szCs w:val="22"/>
        </w:rPr>
      </w:pPr>
    </w:p>
    <w:p w14:paraId="336EB819" w14:textId="77777777" w:rsidR="004C6D42" w:rsidRPr="00136455" w:rsidRDefault="004C6D42" w:rsidP="004C6D42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>Court Simulation</w:t>
      </w:r>
    </w:p>
    <w:p w14:paraId="1558F507" w14:textId="77777777" w:rsidR="000170E4" w:rsidRPr="00136455" w:rsidRDefault="000170E4" w:rsidP="000170E4">
      <w:pPr>
        <w:pStyle w:val="Norm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39996323" w14:textId="77777777" w:rsidR="004C6D42" w:rsidRPr="00136455" w:rsidRDefault="004C6D42" w:rsidP="004C6D42">
      <w:pPr>
        <w:pStyle w:val="NormalWeb"/>
        <w:numPr>
          <w:ilvl w:val="0"/>
          <w:numId w:val="4"/>
        </w:numPr>
        <w:spacing w:before="0" w:beforeAutospacing="0" w:after="200" w:afterAutospacing="0"/>
        <w:rPr>
          <w:b/>
          <w:color w:val="000000"/>
          <w:sz w:val="22"/>
          <w:szCs w:val="22"/>
        </w:rPr>
      </w:pPr>
      <w:r w:rsidRPr="00136455">
        <w:rPr>
          <w:b/>
          <w:color w:val="000000"/>
          <w:sz w:val="22"/>
          <w:szCs w:val="22"/>
        </w:rPr>
        <w:t xml:space="preserve">Court Simulation </w:t>
      </w:r>
    </w:p>
    <w:p w14:paraId="23574A3B" w14:textId="77777777" w:rsidR="004C6D42" w:rsidRPr="00136455" w:rsidRDefault="004C6D42" w:rsidP="00980A1D">
      <w:pPr>
        <w:rPr>
          <w:sz w:val="22"/>
          <w:szCs w:val="22"/>
        </w:rPr>
      </w:pPr>
    </w:p>
    <w:p w14:paraId="6172685A" w14:textId="77777777" w:rsidR="00D504CA" w:rsidRPr="00136455" w:rsidRDefault="00D504CA" w:rsidP="00980A1D">
      <w:pPr>
        <w:rPr>
          <w:sz w:val="22"/>
          <w:szCs w:val="22"/>
        </w:rPr>
      </w:pPr>
    </w:p>
    <w:p w14:paraId="7D1A1F81" w14:textId="77777777" w:rsidR="00D504CA" w:rsidRPr="00AB0F20" w:rsidRDefault="00D504CA" w:rsidP="00980A1D">
      <w:pPr>
        <w:rPr>
          <w:sz w:val="22"/>
          <w:szCs w:val="22"/>
        </w:rPr>
      </w:pPr>
    </w:p>
    <w:p w14:paraId="6E379DC2" w14:textId="77777777" w:rsidR="00D504CA" w:rsidRPr="00AB0F20" w:rsidRDefault="00D504CA" w:rsidP="00980A1D">
      <w:pPr>
        <w:rPr>
          <w:sz w:val="22"/>
          <w:szCs w:val="22"/>
        </w:rPr>
      </w:pPr>
    </w:p>
    <w:p w14:paraId="6F5CFD05" w14:textId="08979551" w:rsidR="00D504CA" w:rsidRPr="00AB0F20" w:rsidRDefault="00D504CA" w:rsidP="00D504CA">
      <w:pPr>
        <w:rPr>
          <w:sz w:val="22"/>
          <w:szCs w:val="22"/>
        </w:rPr>
      </w:pPr>
    </w:p>
    <w:sectPr w:rsidR="00D504CA" w:rsidRPr="00AB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49F8"/>
    <w:multiLevelType w:val="hybridMultilevel"/>
    <w:tmpl w:val="02E6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6E9A"/>
    <w:multiLevelType w:val="hybridMultilevel"/>
    <w:tmpl w:val="92262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05B37"/>
    <w:multiLevelType w:val="hybridMultilevel"/>
    <w:tmpl w:val="56684B74"/>
    <w:lvl w:ilvl="0" w:tplc="D1BA4E1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E0CE2"/>
    <w:multiLevelType w:val="hybridMultilevel"/>
    <w:tmpl w:val="C6EE4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E5B1C"/>
    <w:multiLevelType w:val="hybridMultilevel"/>
    <w:tmpl w:val="1E32D89E"/>
    <w:lvl w:ilvl="0" w:tplc="79CE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773E6"/>
    <w:multiLevelType w:val="hybridMultilevel"/>
    <w:tmpl w:val="A8262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F938B4"/>
    <w:multiLevelType w:val="hybridMultilevel"/>
    <w:tmpl w:val="31AE6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92E43"/>
    <w:multiLevelType w:val="hybridMultilevel"/>
    <w:tmpl w:val="E2EAB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922EE"/>
    <w:multiLevelType w:val="multilevel"/>
    <w:tmpl w:val="9F16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42086"/>
    <w:multiLevelType w:val="hybridMultilevel"/>
    <w:tmpl w:val="D04C7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8A2877"/>
    <w:multiLevelType w:val="hybridMultilevel"/>
    <w:tmpl w:val="4AAAB900"/>
    <w:lvl w:ilvl="0" w:tplc="2A263B8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8C3DCD"/>
    <w:multiLevelType w:val="hybridMultilevel"/>
    <w:tmpl w:val="2ECEF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D"/>
    <w:rsid w:val="000170E4"/>
    <w:rsid w:val="00136455"/>
    <w:rsid w:val="00166FAA"/>
    <w:rsid w:val="001905A8"/>
    <w:rsid w:val="00204902"/>
    <w:rsid w:val="0029136B"/>
    <w:rsid w:val="00333E49"/>
    <w:rsid w:val="00334A13"/>
    <w:rsid w:val="0037795F"/>
    <w:rsid w:val="00415C13"/>
    <w:rsid w:val="00440D64"/>
    <w:rsid w:val="004C6D42"/>
    <w:rsid w:val="006017F8"/>
    <w:rsid w:val="00605CC3"/>
    <w:rsid w:val="00655E56"/>
    <w:rsid w:val="006C6D31"/>
    <w:rsid w:val="006E62A0"/>
    <w:rsid w:val="008A5E45"/>
    <w:rsid w:val="00954630"/>
    <w:rsid w:val="00980A1D"/>
    <w:rsid w:val="00A17ABB"/>
    <w:rsid w:val="00AB0F20"/>
    <w:rsid w:val="00AB159A"/>
    <w:rsid w:val="00AB68F7"/>
    <w:rsid w:val="00B219A9"/>
    <w:rsid w:val="00BB6632"/>
    <w:rsid w:val="00BB66D1"/>
    <w:rsid w:val="00C0431F"/>
    <w:rsid w:val="00C31677"/>
    <w:rsid w:val="00D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3C47"/>
  <w15:chartTrackingRefBased/>
  <w15:docId w15:val="{F15DD96B-B7BB-4D6F-B254-62FA92AD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1D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80A1D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C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A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A1D"/>
    <w:pPr>
      <w:keepNext/>
      <w:tabs>
        <w:tab w:val="left" w:pos="-1440"/>
      </w:tabs>
      <w:ind w:left="4320" w:hanging="432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A1D"/>
    <w:rPr>
      <w:rFonts w:ascii="Arial" w:eastAsia="Times New Roman" w:hAnsi="Arial" w:cs="Arial"/>
      <w:b/>
      <w:bCs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rsid w:val="00980A1D"/>
    <w:rPr>
      <w:rFonts w:ascii="Times New Roman" w:eastAsia="Times New Roman" w:hAnsi="Times New Roman" w:cs="Times New Roman"/>
      <w:b/>
      <w:snapToGrid w:val="0"/>
      <w:szCs w:val="20"/>
    </w:rPr>
  </w:style>
  <w:style w:type="character" w:styleId="Hyperlink">
    <w:name w:val="Hyperlink"/>
    <w:rsid w:val="00980A1D"/>
    <w:rPr>
      <w:color w:val="0000FF"/>
      <w:u w:val="single"/>
    </w:rPr>
  </w:style>
  <w:style w:type="character" w:styleId="FollowedHyperlink">
    <w:name w:val="FollowedHyperlink"/>
    <w:rsid w:val="00980A1D"/>
    <w:rPr>
      <w:color w:val="800080"/>
      <w:u w:val="single"/>
    </w:rPr>
  </w:style>
  <w:style w:type="character" w:styleId="CommentReference">
    <w:name w:val="annotation reference"/>
    <w:semiHidden/>
    <w:rsid w:val="00980A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0A1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0A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1D"/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A1D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A1D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A17ABB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CC3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605CC3"/>
    <w:rPr>
      <w:sz w:val="22"/>
    </w:rPr>
  </w:style>
  <w:style w:type="character" w:customStyle="1" w:styleId="BodyTextChar">
    <w:name w:val="Body Text Char"/>
    <w:basedOn w:val="DefaultParagraphFont"/>
    <w:link w:val="BodyText"/>
    <w:rsid w:val="00605CC3"/>
    <w:rPr>
      <w:rFonts w:ascii="Times New Roman" w:eastAsia="Times New Roman" w:hAnsi="Times New Roman" w:cs="Times New Roman"/>
      <w:snapToGrid w:val="0"/>
      <w:szCs w:val="20"/>
    </w:rPr>
  </w:style>
  <w:style w:type="character" w:styleId="Strong">
    <w:name w:val="Strong"/>
    <w:basedOn w:val="DefaultParagraphFont"/>
    <w:uiPriority w:val="22"/>
    <w:qFormat/>
    <w:rsid w:val="00605CC3"/>
    <w:rPr>
      <w:b/>
      <w:bCs/>
    </w:rPr>
  </w:style>
  <w:style w:type="character" w:styleId="Emphasis">
    <w:name w:val="Emphasis"/>
    <w:basedOn w:val="DefaultParagraphFont"/>
    <w:uiPriority w:val="20"/>
    <w:qFormat/>
    <w:rsid w:val="00605CC3"/>
    <w:rPr>
      <w:i/>
      <w:iCs/>
    </w:rPr>
  </w:style>
  <w:style w:type="paragraph" w:styleId="NormalWeb">
    <w:name w:val="Normal (Web)"/>
    <w:basedOn w:val="Normal"/>
    <w:uiPriority w:val="99"/>
    <w:unhideWhenUsed/>
    <w:rsid w:val="004C6D42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Default">
    <w:name w:val="Default"/>
    <w:rsid w:val="00AB68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udentlife.osu.edu/cs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Hanlin, Deborah K.</cp:lastModifiedBy>
  <cp:revision>2</cp:revision>
  <dcterms:created xsi:type="dcterms:W3CDTF">2016-05-16T13:01:00Z</dcterms:created>
  <dcterms:modified xsi:type="dcterms:W3CDTF">2016-05-16T13:01:00Z</dcterms:modified>
</cp:coreProperties>
</file>